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资格承诺函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致：肇庆市鼎湖区人民法院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在充分理解并响应贵院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莲花人民法庭业务用房及户外设施修缮项目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28"/>
          <w:szCs w:val="28"/>
        </w:rPr>
        <w:t>公开询价公告的基础上，我单位（供应商名称：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）郑重承诺：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28"/>
          <w:szCs w:val="28"/>
        </w:rPr>
        <w:t>我单位具有良好的商业信誉，并已建立健全的财务会计制度，能够依法履行纳税人义务，并按规定为员工缴纳社会保险资金，财务状况良好，具备履行本项目合同的能力。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sz w:val="28"/>
          <w:szCs w:val="28"/>
        </w:rPr>
        <w:t>我单位拥有履行本项目合同所必需的专业技术团队、维修保养设备、清洁工具及车辆等专业技术能力，能够确保按照合同约定及贵院要求完成所有服务内容。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sz w:val="28"/>
          <w:szCs w:val="28"/>
        </w:rPr>
        <w:t>我单位在参加本次采购活动前三年内，在经营活动中没有因违法经营受到刑事处罚或者责令停产停业、吊销许可证或者执照、较大数额罚款等重大违法记录。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sz w:val="28"/>
          <w:szCs w:val="28"/>
        </w:rPr>
        <w:t>我单位及法定代表人、拟投入本项目的主要负责人在此期间内亦无行贿犯罪记录。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对上述承诺内容的真实性负责。我方理解，如被确认为成交候选或成交供应商，贵院有权对我单位的承诺事项进行核查。若在上述任何一项承诺中被发现存在虚假或隐瞒情况，我单位自愿承担所有后果，包括但不限于报价被作无效处理、取消成交资格、列入不良行为记录名单等，并承担相应的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供应商名称（公章）：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统一社会信用代码：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法定代表人（签字或盖章）：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</w:p>
    <w:p>
      <w:pPr>
        <w:rPr>
          <w:rFonts w:hint="eastAsia"/>
        </w:rPr>
      </w:pP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29241D"/>
    <w:rsid w:val="09043963"/>
    <w:rsid w:val="0B2A2750"/>
    <w:rsid w:val="0E8721D6"/>
    <w:rsid w:val="0EAE1A39"/>
    <w:rsid w:val="54CD6794"/>
    <w:rsid w:val="5ADF52AC"/>
    <w:rsid w:val="5E2A2C74"/>
    <w:rsid w:val="7729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区法院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2025-10-14T09:08:00Z</dcterms:created>
  <dc:creator>Administrator</dc:creator>
  <cp:lastModifiedBy>Administrator</cp:lastModifiedBy>
  <dcterms:modified xsi:type="dcterms:W3CDTF">2026-08-19T06:33:08Z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